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A5C9AF">
      <w:pPr>
        <w:spacing w:before="480" w:after="480" w:line="288" w:lineRule="auto"/>
        <w:ind w:left="0"/>
        <w:jc w:val="left"/>
        <w:rPr>
          <w:rFonts w:ascii="Arial" w:hAnsi="Arial" w:eastAsia="等线" w:cs="Arial"/>
          <w:b/>
          <w:sz w:val="52"/>
        </w:rPr>
      </w:pPr>
      <w:bookmarkStart w:id="13" w:name="_GoBack"/>
      <w:bookmarkEnd w:id="13"/>
      <w:r>
        <w:drawing>
          <wp:inline distT="0" distB="0" distL="114300" distR="114300">
            <wp:extent cx="2155190" cy="806450"/>
            <wp:effectExtent l="0" t="0" r="16510" b="12700"/>
            <wp:docPr id="3" name="图片 2" descr="Color logo with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Color logo with background"/>
                    <pic:cNvPicPr>
                      <a:picLocks noChangeAspect="1"/>
                    </pic:cNvPicPr>
                  </pic:nvPicPr>
                  <pic:blipFill>
                    <a:blip r:embed="rId6"/>
                    <a:stretch>
                      <a:fillRect/>
                    </a:stretch>
                  </pic:blipFill>
                  <pic:spPr>
                    <a:xfrm>
                      <a:off x="0" y="0"/>
                      <a:ext cx="2155190" cy="806450"/>
                    </a:xfrm>
                    <a:prstGeom prst="rect">
                      <a:avLst/>
                    </a:prstGeom>
                    <a:noFill/>
                    <a:ln w="9525">
                      <a:noFill/>
                    </a:ln>
                  </pic:spPr>
                </pic:pic>
              </a:graphicData>
            </a:graphic>
          </wp:inline>
        </w:drawing>
      </w:r>
    </w:p>
    <w:p w14:paraId="5C4E7260">
      <w:pPr>
        <w:spacing w:before="480" w:after="480" w:line="288" w:lineRule="auto"/>
        <w:ind w:left="0"/>
        <w:jc w:val="center"/>
      </w:pPr>
      <w:r>
        <w:rPr>
          <w:rFonts w:ascii="Arial" w:hAnsi="Arial" w:eastAsia="等线" w:cs="Arial"/>
          <w:b/>
          <w:sz w:val="52"/>
        </w:rPr>
        <w:t>One-Way Non-Disclosure Agreement</w:t>
      </w:r>
    </w:p>
    <w:p w14:paraId="6B788D96">
      <w:pPr>
        <w:spacing w:before="120" w:after="120" w:line="288" w:lineRule="auto"/>
        <w:ind w:left="0"/>
        <w:jc w:val="left"/>
      </w:pPr>
      <w:r>
        <w:rPr>
          <w:rFonts w:ascii="Arial" w:hAnsi="Arial" w:eastAsia="等线" w:cs="Arial"/>
          <w:b/>
          <w:sz w:val="22"/>
        </w:rPr>
        <w:t>Effective Date:</w:t>
      </w:r>
      <w:r>
        <w:rPr>
          <w:rFonts w:ascii="Arial" w:hAnsi="Arial" w:eastAsia="等线" w:cs="Arial"/>
          <w:sz w:val="22"/>
        </w:rPr>
        <w:t xml:space="preserve"> _______________</w:t>
      </w:r>
    </w:p>
    <w:p w14:paraId="31126A84">
      <w:pPr>
        <w:spacing w:before="120" w:after="120" w:line="288" w:lineRule="auto"/>
        <w:ind w:left="0"/>
        <w:jc w:val="left"/>
      </w:pPr>
      <w:r>
        <w:rPr>
          <w:rFonts w:ascii="Arial" w:hAnsi="Arial" w:eastAsia="等线" w:cs="Arial"/>
          <w:sz w:val="22"/>
        </w:rPr>
        <w:t>This One-Way Non-Disclosure Agreement (hereinafter referred to as the “Agreement”) is entered into by and between the undersigned parties. The purpose of this Agreement is to protect confidential business information, technical data, trade secrets and proprietary materials disclosed during business cooperation negotiations, sample development, production and packaging cooperation related to glass containers, bottles and packaging products.</w:t>
      </w:r>
    </w:p>
    <w:p w14:paraId="340D7F21">
      <w:pPr>
        <w:spacing w:before="120" w:after="120" w:line="288" w:lineRule="auto"/>
        <w:ind w:left="0"/>
        <w:jc w:val="left"/>
      </w:pPr>
      <w:r>
        <w:rPr>
          <w:rFonts w:ascii="Arial" w:hAnsi="Arial" w:eastAsia="等线" w:cs="Arial"/>
          <w:b/>
          <w:sz w:val="22"/>
        </w:rPr>
        <w:t>Disclosing Party (Party A):</w:t>
      </w:r>
      <w:r>
        <w:rPr>
          <w:rFonts w:ascii="Arial" w:hAnsi="Arial" w:eastAsia="等线" w:cs="Arial"/>
          <w:sz w:val="22"/>
        </w:rPr>
        <w:t xml:space="preserve"> _________________________</w:t>
      </w:r>
    </w:p>
    <w:p w14:paraId="566F373E">
      <w:pPr>
        <w:spacing w:before="120" w:after="120" w:line="288" w:lineRule="auto"/>
        <w:ind w:left="0"/>
        <w:jc w:val="left"/>
      </w:pPr>
      <w:r>
        <w:rPr>
          <w:rFonts w:ascii="Arial" w:hAnsi="Arial" w:eastAsia="等线" w:cs="Arial"/>
          <w:sz w:val="22"/>
        </w:rPr>
        <w:t>Registered Address: _________________________</w:t>
      </w:r>
    </w:p>
    <w:p w14:paraId="153A48BD">
      <w:pPr>
        <w:spacing w:before="120" w:after="120" w:line="288" w:lineRule="auto"/>
        <w:ind w:left="0"/>
        <w:jc w:val="left"/>
      </w:pPr>
      <w:r>
        <w:rPr>
          <w:rFonts w:ascii="Arial" w:hAnsi="Arial" w:eastAsia="等线" w:cs="Arial"/>
          <w:sz w:val="22"/>
        </w:rPr>
        <w:t>Contact Information: _________________________</w:t>
      </w:r>
    </w:p>
    <w:p w14:paraId="27F881B3">
      <w:pPr>
        <w:spacing w:before="120" w:after="120" w:line="288" w:lineRule="auto"/>
        <w:ind w:left="0"/>
        <w:jc w:val="left"/>
      </w:pPr>
      <w:r>
        <w:rPr>
          <w:rFonts w:ascii="Arial" w:hAnsi="Arial" w:eastAsia="等线" w:cs="Arial"/>
          <w:b/>
          <w:sz w:val="22"/>
        </w:rPr>
        <w:t>Receiving Party (Party B):</w:t>
      </w:r>
      <w:r>
        <w:rPr>
          <w:rFonts w:ascii="Arial" w:hAnsi="Arial" w:eastAsia="等线" w:cs="Arial"/>
          <w:sz w:val="22"/>
        </w:rPr>
        <w:t xml:space="preserve"> _________________________</w:t>
      </w:r>
    </w:p>
    <w:p w14:paraId="58FBAEF2">
      <w:pPr>
        <w:spacing w:before="120" w:after="120" w:line="288" w:lineRule="auto"/>
        <w:ind w:left="0"/>
        <w:jc w:val="left"/>
      </w:pPr>
      <w:r>
        <w:rPr>
          <w:rFonts w:ascii="Arial" w:hAnsi="Arial" w:eastAsia="等线" w:cs="Arial"/>
          <w:sz w:val="22"/>
        </w:rPr>
        <w:t>Registered Address: _________________________</w:t>
      </w:r>
    </w:p>
    <w:p w14:paraId="63463B41">
      <w:pPr>
        <w:spacing w:before="120" w:after="120" w:line="288" w:lineRule="auto"/>
        <w:ind w:left="0"/>
        <w:jc w:val="left"/>
      </w:pPr>
      <w:r>
        <w:rPr>
          <w:rFonts w:ascii="Arial" w:hAnsi="Arial" w:eastAsia="等线" w:cs="Arial"/>
          <w:sz w:val="22"/>
        </w:rPr>
        <w:t>Contact Information: _________________________</w:t>
      </w:r>
    </w:p>
    <w:p w14:paraId="508B49FB">
      <w:pPr>
        <w:spacing w:before="120" w:after="120" w:line="288" w:lineRule="auto"/>
        <w:ind w:left="0"/>
        <w:jc w:val="left"/>
      </w:pPr>
      <w:r>
        <w:rPr>
          <w:rFonts w:ascii="Arial" w:hAnsi="Arial" w:eastAsia="等线" w:cs="Arial"/>
          <w:sz w:val="22"/>
        </w:rPr>
        <w:t>The two parties are hereinafter collectively referred to as the “Parties”.</w:t>
      </w:r>
    </w:p>
    <w:p w14:paraId="07A8B67B">
      <w:pPr>
        <w:spacing w:before="320" w:after="120" w:line="288" w:lineRule="auto"/>
        <w:ind w:left="0"/>
        <w:jc w:val="left"/>
        <w:outlineLvl w:val="1"/>
      </w:pPr>
      <w:bookmarkStart w:id="0" w:name="heading_0"/>
      <w:r>
        <w:rPr>
          <w:rFonts w:ascii="Arial" w:hAnsi="Arial" w:eastAsia="等线" w:cs="Arial"/>
          <w:b/>
          <w:sz w:val="32"/>
        </w:rPr>
        <w:t>1. Purpose of Cooperation</w:t>
      </w:r>
      <w:bookmarkEnd w:id="0"/>
    </w:p>
    <w:p w14:paraId="3B5236A2">
      <w:pPr>
        <w:spacing w:before="120" w:after="120" w:line="288" w:lineRule="auto"/>
        <w:ind w:left="0"/>
        <w:jc w:val="left"/>
      </w:pPr>
      <w:r>
        <w:rPr>
          <w:rFonts w:ascii="Arial" w:hAnsi="Arial" w:eastAsia="等线" w:cs="Arial"/>
          <w:sz w:val="22"/>
        </w:rPr>
        <w:t xml:space="preserve">The Receiving Party intends to conduct business communication, quotation evaluation, sample testing, product customization and technical cooperation with the Disclosing Party in relation to glass bottles, glass containers, beverage packaging, wine packaging and related mould manufacturing business. All confidential information disclosed by the Disclosing Party shall be used </w:t>
      </w:r>
      <w:r>
        <w:rPr>
          <w:rFonts w:ascii="Arial" w:hAnsi="Arial" w:eastAsia="等线" w:cs="Arial"/>
          <w:b/>
          <w:sz w:val="22"/>
        </w:rPr>
        <w:t>only for the purpose of evaluating and performing the current cooperation</w:t>
      </w:r>
      <w:r>
        <w:rPr>
          <w:rFonts w:ascii="Arial" w:hAnsi="Arial" w:eastAsia="等线" w:cs="Arial"/>
          <w:sz w:val="22"/>
        </w:rPr>
        <w:t xml:space="preserve"> and shall not be used for any other commercial or non-commercial purposes.</w:t>
      </w:r>
    </w:p>
    <w:p w14:paraId="715585A6">
      <w:pPr>
        <w:spacing w:before="320" w:after="120" w:line="288" w:lineRule="auto"/>
        <w:ind w:left="0"/>
        <w:jc w:val="left"/>
        <w:outlineLvl w:val="1"/>
      </w:pPr>
      <w:bookmarkStart w:id="1" w:name="heading_1"/>
      <w:r>
        <w:rPr>
          <w:rFonts w:ascii="Arial" w:hAnsi="Arial" w:eastAsia="等线" w:cs="Arial"/>
          <w:b/>
          <w:sz w:val="32"/>
        </w:rPr>
        <w:t>2. Definition of Confidential Information</w:t>
      </w:r>
      <w:bookmarkEnd w:id="1"/>
    </w:p>
    <w:p w14:paraId="3528D3D3">
      <w:pPr>
        <w:spacing w:before="120" w:after="120" w:line="288" w:lineRule="auto"/>
        <w:ind w:left="0"/>
        <w:jc w:val="left"/>
      </w:pPr>
      <w:r>
        <w:rPr>
          <w:rFonts w:ascii="Arial" w:hAnsi="Arial" w:eastAsia="等线" w:cs="Arial"/>
          <w:sz w:val="22"/>
        </w:rPr>
        <w:t>Confidential Information refers to all non-public information disclosed by the Disclosing Party to the Receiving Party in written, oral, electronic, graphic, sample or any other form, including but not limited to:</w:t>
      </w:r>
    </w:p>
    <w:p w14:paraId="6CF196AC">
      <w:pPr>
        <w:spacing w:before="120" w:after="120" w:line="288" w:lineRule="auto"/>
        <w:ind w:left="0"/>
        <w:jc w:val="left"/>
      </w:pPr>
      <w:r>
        <w:rPr>
          <w:rFonts w:ascii="Arial" w:hAnsi="Arial" w:eastAsia="等线" w:cs="Arial"/>
          <w:sz w:val="22"/>
        </w:rPr>
        <w:t>(1) Product information: glass bottle design, container structure, product dimensions, capacity specifications (including 200ml, 330ml, 500ml, 750ml, 1000ml and other customized sizes), product samples, appearance standards and customized solutions;</w:t>
      </w:r>
    </w:p>
    <w:p w14:paraId="7C46BE02">
      <w:pPr>
        <w:spacing w:before="120" w:after="120" w:line="288" w:lineRule="auto"/>
        <w:ind w:left="0"/>
        <w:jc w:val="left"/>
      </w:pPr>
      <w:r>
        <w:rPr>
          <w:rFonts w:ascii="Arial" w:hAnsi="Arial" w:eastAsia="等线" w:cs="Arial"/>
          <w:sz w:val="22"/>
        </w:rPr>
        <w:t>(2) Technical information: production technology, multi-cavity steel mould structure, 3D layout drawings, carving processing technology, quality inspection standards, manufacturing procedures and industry know-how;</w:t>
      </w:r>
    </w:p>
    <w:p w14:paraId="2AA7A243">
      <w:pPr>
        <w:spacing w:before="120" w:after="120" w:line="288" w:lineRule="auto"/>
        <w:ind w:left="0"/>
        <w:jc w:val="left"/>
      </w:pPr>
      <w:r>
        <w:rPr>
          <w:rFonts w:ascii="Arial" w:hAnsi="Arial" w:eastAsia="等线" w:cs="Arial"/>
          <w:sz w:val="22"/>
        </w:rPr>
        <w:t>(3) Commercial information: quotation price, cost structure, business terms, cooperation mode, customer resources, supplier information, business plans and market strategies;</w:t>
      </w:r>
    </w:p>
    <w:p w14:paraId="06EC09EE">
      <w:pPr>
        <w:spacing w:before="120" w:after="120" w:line="288" w:lineRule="auto"/>
        <w:ind w:left="0"/>
        <w:jc w:val="left"/>
      </w:pPr>
      <w:r>
        <w:rPr>
          <w:rFonts w:ascii="Arial" w:hAnsi="Arial" w:eastAsia="等线" w:cs="Arial"/>
          <w:sz w:val="22"/>
        </w:rPr>
        <w:t>(4) Intellectual property information: undisclosed patents, trade secrets, original design copyrights and proprietary technical data.</w:t>
      </w:r>
    </w:p>
    <w:p w14:paraId="2D55017E">
      <w:pPr>
        <w:spacing w:before="120" w:after="120" w:line="288" w:lineRule="auto"/>
        <w:ind w:left="0"/>
        <w:jc w:val="left"/>
      </w:pPr>
      <w:r>
        <w:rPr>
          <w:rFonts w:ascii="Arial" w:hAnsi="Arial" w:eastAsia="等线" w:cs="Arial"/>
          <w:b/>
          <w:sz w:val="22"/>
        </w:rPr>
        <w:t>Exclusions:</w:t>
      </w:r>
      <w:r>
        <w:rPr>
          <w:rFonts w:ascii="Arial" w:hAnsi="Arial" w:eastAsia="等线" w:cs="Arial"/>
          <w:sz w:val="22"/>
        </w:rPr>
        <w:t xml:space="preserve"> Information that is publicly available, legally possessed by the Receiving Party prior to disclosure, independently developed by the Receiving Party, or lawfully obtained from a third party without confidentiality restrictions shall not be regarded as Confidential Information.</w:t>
      </w:r>
    </w:p>
    <w:p w14:paraId="120F994D">
      <w:pPr>
        <w:spacing w:before="320" w:after="120" w:line="288" w:lineRule="auto"/>
        <w:ind w:left="0"/>
        <w:jc w:val="left"/>
        <w:outlineLvl w:val="1"/>
      </w:pPr>
      <w:bookmarkStart w:id="2" w:name="heading_2"/>
      <w:r>
        <w:rPr>
          <w:rFonts w:ascii="Arial" w:hAnsi="Arial" w:eastAsia="等线" w:cs="Arial"/>
          <w:b/>
          <w:sz w:val="32"/>
        </w:rPr>
        <w:t>3. Confidentiality Obligations</w:t>
      </w:r>
      <w:bookmarkEnd w:id="2"/>
    </w:p>
    <w:p w14:paraId="0115C3B4">
      <w:pPr>
        <w:spacing w:before="120" w:after="120" w:line="288" w:lineRule="auto"/>
        <w:ind w:left="0"/>
        <w:jc w:val="left"/>
      </w:pPr>
      <w:r>
        <w:rPr>
          <w:rFonts w:ascii="Arial" w:hAnsi="Arial" w:eastAsia="等线" w:cs="Arial"/>
          <w:sz w:val="22"/>
        </w:rPr>
        <w:t>(1) The Receiving Party shall protect all Confidential Information with no less than the same standard of care used to protect its own confidential and proprietary information;</w:t>
      </w:r>
    </w:p>
    <w:p w14:paraId="6C3E809E">
      <w:pPr>
        <w:spacing w:before="120" w:after="120" w:line="288" w:lineRule="auto"/>
        <w:ind w:left="0"/>
        <w:jc w:val="left"/>
      </w:pPr>
      <w:r>
        <w:rPr>
          <w:rFonts w:ascii="Arial" w:hAnsi="Arial" w:eastAsia="等线" w:cs="Arial"/>
          <w:sz w:val="22"/>
        </w:rPr>
        <w:t>(2) Confidential Information shall only be accessed by employees or consultants who have a legitimate need-to-know for the current cooperation. The Receiving Party shall ensure its staff comply with confidentiality obligations;</w:t>
      </w:r>
    </w:p>
    <w:p w14:paraId="469A0E43">
      <w:pPr>
        <w:spacing w:before="120" w:after="120" w:line="288" w:lineRule="auto"/>
        <w:ind w:left="0"/>
        <w:jc w:val="left"/>
      </w:pPr>
      <w:r>
        <w:rPr>
          <w:rFonts w:ascii="Arial" w:hAnsi="Arial" w:eastAsia="等线" w:cs="Arial"/>
          <w:sz w:val="22"/>
        </w:rPr>
        <w:t>(3) Without prior written authorization from the Disclosing Party, the Receiving Party shall not copy, reproduce, distribute, disclose, publish or transfer any Confidential Information to any third party;</w:t>
      </w:r>
    </w:p>
    <w:p w14:paraId="3EA16D52">
      <w:pPr>
        <w:spacing w:before="120" w:after="120" w:line="288" w:lineRule="auto"/>
        <w:ind w:left="0"/>
        <w:jc w:val="left"/>
      </w:pPr>
      <w:r>
        <w:rPr>
          <w:rFonts w:ascii="Arial" w:hAnsi="Arial" w:eastAsia="等线" w:cs="Arial"/>
          <w:sz w:val="22"/>
        </w:rPr>
        <w:t>(4) The Receiving Party shall not reverse engineer, imitate, replicate or redevelop the Disclosing Party’s drawings, mould data, product structures and technical solutions for competitive production;</w:t>
      </w:r>
    </w:p>
    <w:p w14:paraId="78D4639E">
      <w:pPr>
        <w:spacing w:before="120" w:after="120" w:line="288" w:lineRule="auto"/>
        <w:ind w:left="0"/>
        <w:jc w:val="left"/>
      </w:pPr>
      <w:r>
        <w:rPr>
          <w:rFonts w:ascii="Arial" w:hAnsi="Arial" w:eastAsia="等线" w:cs="Arial"/>
          <w:sz w:val="22"/>
        </w:rPr>
        <w:t>(5) After the termination of cooperation, the Receiving Party shall not utilize any Confidential Information to engage in competing businesses.</w:t>
      </w:r>
    </w:p>
    <w:p w14:paraId="27CD050F">
      <w:pPr>
        <w:spacing w:before="320" w:after="120" w:line="288" w:lineRule="auto"/>
        <w:ind w:left="0"/>
        <w:jc w:val="left"/>
        <w:outlineLvl w:val="1"/>
      </w:pPr>
      <w:bookmarkStart w:id="3" w:name="heading_3"/>
      <w:r>
        <w:rPr>
          <w:rFonts w:ascii="Arial" w:hAnsi="Arial" w:eastAsia="等线" w:cs="Arial"/>
          <w:b/>
          <w:sz w:val="32"/>
        </w:rPr>
        <w:t>4. Non-Compete &amp; Non-Solicitation</w:t>
      </w:r>
      <w:bookmarkEnd w:id="3"/>
    </w:p>
    <w:p w14:paraId="50068402">
      <w:pPr>
        <w:spacing w:before="120" w:after="120" w:line="288" w:lineRule="auto"/>
        <w:ind w:left="0"/>
        <w:jc w:val="left"/>
      </w:pPr>
      <w:r>
        <w:rPr>
          <w:rFonts w:ascii="Arial" w:hAnsi="Arial" w:eastAsia="等线" w:cs="Arial"/>
          <w:sz w:val="22"/>
        </w:rPr>
        <w:t xml:space="preserve">For a period of </w:t>
      </w:r>
      <w:r>
        <w:rPr>
          <w:rFonts w:ascii="Arial" w:hAnsi="Arial" w:eastAsia="等线" w:cs="Arial"/>
          <w:b/>
          <w:sz w:val="22"/>
        </w:rPr>
        <w:t>60 months</w:t>
      </w:r>
      <w:r>
        <w:rPr>
          <w:rFonts w:ascii="Arial" w:hAnsi="Arial" w:eastAsia="等线" w:cs="Arial"/>
          <w:sz w:val="22"/>
        </w:rPr>
        <w:t xml:space="preserve"> from the effective date of this Agreement, the Receiving Party shall not, directly or indirectly:</w:t>
      </w:r>
    </w:p>
    <w:p w14:paraId="020DEAE9">
      <w:pPr>
        <w:spacing w:before="120" w:after="120" w:line="288" w:lineRule="auto"/>
        <w:ind w:left="0"/>
        <w:jc w:val="left"/>
      </w:pPr>
      <w:r>
        <w:rPr>
          <w:rFonts w:ascii="Arial" w:hAnsi="Arial" w:eastAsia="等线" w:cs="Arial"/>
          <w:sz w:val="22"/>
        </w:rPr>
        <w:t>(1) Manufacture, sell or promote glass bottles, containers and packaging products that compete with the Disclosing Party’s business;</w:t>
      </w:r>
    </w:p>
    <w:p w14:paraId="6CBBC896">
      <w:pPr>
        <w:spacing w:before="120" w:after="120" w:line="288" w:lineRule="auto"/>
        <w:ind w:left="0"/>
        <w:jc w:val="left"/>
      </w:pPr>
      <w:r>
        <w:rPr>
          <w:rFonts w:ascii="Arial" w:hAnsi="Arial" w:eastAsia="等线" w:cs="Arial"/>
          <w:sz w:val="22"/>
        </w:rPr>
        <w:t>(2) Solicit, cooperate with or acquire the Disclosing Party’s existing customers, suppliers and cooperative partners for competing business purposes;</w:t>
      </w:r>
    </w:p>
    <w:p w14:paraId="52319016">
      <w:pPr>
        <w:spacing w:before="120" w:after="120" w:line="288" w:lineRule="auto"/>
        <w:ind w:left="0"/>
        <w:jc w:val="left"/>
      </w:pPr>
      <w:r>
        <w:rPr>
          <w:rFonts w:ascii="Arial" w:hAnsi="Arial" w:eastAsia="等线" w:cs="Arial"/>
          <w:sz w:val="22"/>
        </w:rPr>
        <w:t>(3) Use third-party channels or affiliated entities to circumvent this Agreement and conduct competitive or infringing acts.</w:t>
      </w:r>
    </w:p>
    <w:p w14:paraId="17D91B38">
      <w:pPr>
        <w:spacing w:before="320" w:after="120" w:line="288" w:lineRule="auto"/>
        <w:ind w:left="0"/>
        <w:jc w:val="left"/>
        <w:outlineLvl w:val="1"/>
      </w:pPr>
      <w:bookmarkStart w:id="4" w:name="heading_4"/>
      <w:r>
        <w:rPr>
          <w:rFonts w:ascii="Arial" w:hAnsi="Arial" w:eastAsia="等线" w:cs="Arial"/>
          <w:b/>
          <w:sz w:val="32"/>
        </w:rPr>
        <w:t>5. Non-Circumvention</w:t>
      </w:r>
      <w:bookmarkEnd w:id="4"/>
    </w:p>
    <w:p w14:paraId="45D14383">
      <w:pPr>
        <w:spacing w:before="120" w:after="120" w:line="288" w:lineRule="auto"/>
        <w:ind w:left="0"/>
        <w:jc w:val="left"/>
      </w:pPr>
      <w:r>
        <w:rPr>
          <w:rFonts w:ascii="Arial" w:hAnsi="Arial" w:eastAsia="等线" w:cs="Arial"/>
          <w:sz w:val="22"/>
        </w:rPr>
        <w:t>The Receiving Party shall not bypass the Disclosing Party, either directly or indirectly through any third party, to utilize the business resources, technical information and cooperation channels obtained from the Disclosing Party for profit-making or competitive purposes.</w:t>
      </w:r>
    </w:p>
    <w:p w14:paraId="7F0EAE29">
      <w:pPr>
        <w:spacing w:before="320" w:after="120" w:line="288" w:lineRule="auto"/>
        <w:ind w:left="0"/>
        <w:jc w:val="left"/>
        <w:outlineLvl w:val="1"/>
      </w:pPr>
      <w:bookmarkStart w:id="5" w:name="heading_5"/>
      <w:r>
        <w:rPr>
          <w:rFonts w:ascii="Arial" w:hAnsi="Arial" w:eastAsia="等线" w:cs="Arial"/>
          <w:b/>
          <w:sz w:val="32"/>
        </w:rPr>
        <w:t>6. Compelled Disclosure</w:t>
      </w:r>
      <w:bookmarkEnd w:id="5"/>
    </w:p>
    <w:p w14:paraId="4C20F7FC">
      <w:pPr>
        <w:spacing w:before="120" w:after="120" w:line="288" w:lineRule="auto"/>
        <w:ind w:left="0"/>
        <w:jc w:val="left"/>
      </w:pPr>
      <w:r>
        <w:rPr>
          <w:rFonts w:ascii="Arial" w:hAnsi="Arial" w:eastAsia="等线" w:cs="Arial"/>
          <w:sz w:val="22"/>
        </w:rPr>
        <w:t>If the Receiving Party is required by judicial or administrative authorities to disclose Confidential Information by law, the Receiving Party shall promptly notify the Disclosing Party in writing, assist in taking protective measures, and only disclose the minimum information required by law.</w:t>
      </w:r>
    </w:p>
    <w:p w14:paraId="3747D045">
      <w:pPr>
        <w:spacing w:before="320" w:after="120" w:line="288" w:lineRule="auto"/>
        <w:ind w:left="0"/>
        <w:jc w:val="left"/>
        <w:outlineLvl w:val="1"/>
      </w:pPr>
      <w:bookmarkStart w:id="6" w:name="heading_6"/>
      <w:r>
        <w:rPr>
          <w:rFonts w:ascii="Arial" w:hAnsi="Arial" w:eastAsia="等线" w:cs="Arial"/>
          <w:b/>
          <w:sz w:val="32"/>
        </w:rPr>
        <w:t>7. Intellectual Property Ownership</w:t>
      </w:r>
      <w:bookmarkEnd w:id="6"/>
    </w:p>
    <w:p w14:paraId="6B94DF59">
      <w:pPr>
        <w:spacing w:before="120" w:after="120" w:line="288" w:lineRule="auto"/>
        <w:ind w:left="0"/>
        <w:jc w:val="left"/>
      </w:pPr>
      <w:r>
        <w:rPr>
          <w:rFonts w:ascii="Arial" w:hAnsi="Arial" w:eastAsia="等线" w:cs="Arial"/>
          <w:sz w:val="22"/>
        </w:rPr>
        <w:t>All Confidential Information, technical documents, design drawings, mould data and samples disclosed by the Disclosing Party shall remain the exclusive intellectual property of the Disclosing Party. No license, commercial usage right or sub-licensing right is granted under this Agreement.</w:t>
      </w:r>
    </w:p>
    <w:p w14:paraId="09421FDB">
      <w:pPr>
        <w:spacing w:before="320" w:after="120" w:line="288" w:lineRule="auto"/>
        <w:ind w:left="0"/>
        <w:jc w:val="left"/>
        <w:outlineLvl w:val="1"/>
      </w:pPr>
      <w:bookmarkStart w:id="7" w:name="heading_7"/>
      <w:r>
        <w:rPr>
          <w:rFonts w:ascii="Arial" w:hAnsi="Arial" w:eastAsia="等线" w:cs="Arial"/>
          <w:b/>
          <w:sz w:val="32"/>
        </w:rPr>
        <w:t>8. Term &amp; Survival Clause</w:t>
      </w:r>
      <w:bookmarkEnd w:id="7"/>
    </w:p>
    <w:p w14:paraId="7703C0D4">
      <w:pPr>
        <w:spacing w:before="120" w:after="120" w:line="288" w:lineRule="auto"/>
        <w:ind w:left="0"/>
        <w:jc w:val="left"/>
      </w:pPr>
      <w:r>
        <w:rPr>
          <w:rFonts w:ascii="Arial" w:hAnsi="Arial" w:eastAsia="等线" w:cs="Arial"/>
          <w:sz w:val="22"/>
        </w:rPr>
        <w:t xml:space="preserve">This Agreement shall take effect upon signature and seal by both parties. The confidentiality obligations, non-compete obligations and non-circumvention obligations shall remain valid for </w:t>
      </w:r>
      <w:r>
        <w:rPr>
          <w:rFonts w:ascii="Arial" w:hAnsi="Arial" w:eastAsia="等线" w:cs="Arial"/>
          <w:b/>
          <w:sz w:val="22"/>
        </w:rPr>
        <w:t>60 months</w:t>
      </w:r>
      <w:r>
        <w:rPr>
          <w:rFonts w:ascii="Arial" w:hAnsi="Arial" w:eastAsia="等线" w:cs="Arial"/>
          <w:sz w:val="22"/>
        </w:rPr>
        <w:t xml:space="preserve"> from the effective date, even if the business negotiation or cooperation is terminated in advance.</w:t>
      </w:r>
    </w:p>
    <w:p w14:paraId="3A8AB61B">
      <w:pPr>
        <w:spacing w:before="320" w:after="120" w:line="288" w:lineRule="auto"/>
        <w:ind w:left="0"/>
        <w:jc w:val="left"/>
        <w:outlineLvl w:val="1"/>
      </w:pPr>
      <w:bookmarkStart w:id="8" w:name="heading_8"/>
      <w:r>
        <w:rPr>
          <w:rFonts w:ascii="Arial" w:hAnsi="Arial" w:eastAsia="等线" w:cs="Arial"/>
          <w:b/>
          <w:sz w:val="32"/>
        </w:rPr>
        <w:t>9. Return and Destruction of Confidential Materials</w:t>
      </w:r>
      <w:bookmarkEnd w:id="8"/>
    </w:p>
    <w:p w14:paraId="54D1106E">
      <w:pPr>
        <w:spacing w:before="120" w:after="120" w:line="288" w:lineRule="auto"/>
        <w:ind w:left="0"/>
        <w:jc w:val="left"/>
      </w:pPr>
      <w:r>
        <w:rPr>
          <w:rFonts w:ascii="Arial" w:hAnsi="Arial" w:eastAsia="等线" w:cs="Arial"/>
          <w:sz w:val="22"/>
        </w:rPr>
        <w:t>Upon written request from the Disclosing Party, the Receiving Party shall return or permanently destroy all confidential documents, electronic files, drawings, data and samples within 3 working days, and issue a written destruction or return certificate.</w:t>
      </w:r>
    </w:p>
    <w:p w14:paraId="37ECD960">
      <w:pPr>
        <w:spacing w:before="320" w:after="120" w:line="288" w:lineRule="auto"/>
        <w:ind w:left="0"/>
        <w:jc w:val="left"/>
        <w:outlineLvl w:val="1"/>
      </w:pPr>
      <w:bookmarkStart w:id="9" w:name="heading_9"/>
      <w:r>
        <w:rPr>
          <w:rFonts w:ascii="Arial" w:hAnsi="Arial" w:eastAsia="等线" w:cs="Arial"/>
          <w:b/>
          <w:sz w:val="32"/>
        </w:rPr>
        <w:t>10. No Obligation to Cooperate</w:t>
      </w:r>
      <w:bookmarkEnd w:id="9"/>
    </w:p>
    <w:p w14:paraId="497EDAA5">
      <w:pPr>
        <w:spacing w:before="120" w:after="120" w:line="288" w:lineRule="auto"/>
        <w:ind w:left="0"/>
        <w:jc w:val="left"/>
      </w:pPr>
      <w:r>
        <w:rPr>
          <w:rFonts w:ascii="Arial" w:hAnsi="Arial" w:eastAsia="等线" w:cs="Arial"/>
          <w:sz w:val="22"/>
        </w:rPr>
        <w:t>This Agreement only defines confidentiality obligations and does not oblige either party to sign formal contracts, place orders or complete business transactions. The validity of this Agreement shall not be affected whether the two parties finally reach cooperation or not.</w:t>
      </w:r>
    </w:p>
    <w:p w14:paraId="4CBE653F">
      <w:pPr>
        <w:spacing w:before="320" w:after="120" w:line="288" w:lineRule="auto"/>
        <w:ind w:left="0"/>
        <w:jc w:val="left"/>
        <w:outlineLvl w:val="1"/>
      </w:pPr>
      <w:bookmarkStart w:id="10" w:name="heading_10"/>
      <w:r>
        <w:rPr>
          <w:rFonts w:ascii="Arial" w:hAnsi="Arial" w:eastAsia="等线" w:cs="Arial"/>
          <w:b/>
          <w:sz w:val="32"/>
        </w:rPr>
        <w:t>11. Breach of Liability</w:t>
      </w:r>
      <w:bookmarkEnd w:id="10"/>
    </w:p>
    <w:p w14:paraId="146EF1F7">
      <w:pPr>
        <w:spacing w:before="120" w:after="120" w:line="288" w:lineRule="auto"/>
        <w:ind w:left="0"/>
        <w:jc w:val="left"/>
      </w:pPr>
      <w:r>
        <w:rPr>
          <w:rFonts w:ascii="Arial" w:hAnsi="Arial" w:eastAsia="等线" w:cs="Arial"/>
          <w:sz w:val="22"/>
        </w:rPr>
        <w:t>If the Receiving Party violates any clause of this Agreement, including but not limited to information leakage, unauthorized usage or competitive behavior, it shall fully compensate the Disclosing Party for all direct losses, indirect losses, litigation fees, attorney fees and other related economic losses.</w:t>
      </w:r>
    </w:p>
    <w:p w14:paraId="10BD2AE4">
      <w:pPr>
        <w:spacing w:before="320" w:after="120" w:line="288" w:lineRule="auto"/>
        <w:ind w:left="0"/>
        <w:jc w:val="left"/>
        <w:outlineLvl w:val="1"/>
      </w:pPr>
      <w:bookmarkStart w:id="11" w:name="heading_11"/>
      <w:r>
        <w:rPr>
          <w:rFonts w:ascii="Arial" w:hAnsi="Arial" w:eastAsia="等线" w:cs="Arial"/>
          <w:b/>
          <w:sz w:val="32"/>
        </w:rPr>
        <w:t>12. Governing Law and Dispute Resolution</w:t>
      </w:r>
      <w:bookmarkEnd w:id="11"/>
    </w:p>
    <w:p w14:paraId="28E499F5">
      <w:pPr>
        <w:spacing w:before="120" w:after="120" w:line="288" w:lineRule="auto"/>
        <w:ind w:left="0"/>
        <w:jc w:val="left"/>
      </w:pPr>
      <w:r>
        <w:rPr>
          <w:rFonts w:ascii="Arial" w:hAnsi="Arial" w:eastAsia="等线" w:cs="Arial"/>
          <w:sz w:val="22"/>
        </w:rPr>
        <w:t xml:space="preserve">This Agreement shall be governed by and construed in accordance with the laws of </w:t>
      </w:r>
      <w:r>
        <w:rPr>
          <w:rFonts w:ascii="Arial" w:hAnsi="Arial" w:eastAsia="等线" w:cs="Arial"/>
          <w:b/>
          <w:sz w:val="22"/>
        </w:rPr>
        <w:t>the People’s Republic of China</w:t>
      </w:r>
      <w:r>
        <w:rPr>
          <w:rFonts w:ascii="Arial" w:hAnsi="Arial" w:eastAsia="等线" w:cs="Arial"/>
          <w:sz w:val="22"/>
        </w:rPr>
        <w:t>. Any disputes arising out of or in connection with this Agreement shall be settled through friendly negotiation. If negotiation fails, disputes shall be submitted to the competent people’s court where the Disclosing Party is located for judgment.</w:t>
      </w:r>
    </w:p>
    <w:p w14:paraId="4F327328">
      <w:pPr>
        <w:spacing w:before="320" w:after="120" w:line="288" w:lineRule="auto"/>
        <w:ind w:left="0"/>
        <w:jc w:val="left"/>
        <w:outlineLvl w:val="1"/>
      </w:pPr>
      <w:bookmarkStart w:id="12" w:name="heading_12"/>
      <w:r>
        <w:rPr>
          <w:rFonts w:ascii="Arial" w:hAnsi="Arial" w:eastAsia="等线" w:cs="Arial"/>
          <w:b/>
          <w:sz w:val="32"/>
        </w:rPr>
        <w:t>13. Miscellaneous</w:t>
      </w:r>
      <w:bookmarkEnd w:id="12"/>
    </w:p>
    <w:p w14:paraId="23B8CA38">
      <w:pPr>
        <w:spacing w:before="120" w:after="120" w:line="288" w:lineRule="auto"/>
        <w:ind w:left="0"/>
        <w:jc w:val="left"/>
      </w:pPr>
      <w:r>
        <w:rPr>
          <w:rFonts w:ascii="Arial" w:hAnsi="Arial" w:eastAsia="等线" w:cs="Arial"/>
          <w:sz w:val="22"/>
        </w:rPr>
        <w:t>(1) This Agreement constitutes the entire understanding between the two parties and supersedes all previous oral or written confidentiality agreements;</w:t>
      </w:r>
    </w:p>
    <w:p w14:paraId="13885F1D">
      <w:pPr>
        <w:spacing w:before="120" w:after="120" w:line="288" w:lineRule="auto"/>
        <w:ind w:left="0"/>
        <w:jc w:val="left"/>
      </w:pPr>
      <w:r>
        <w:rPr>
          <w:rFonts w:ascii="Arial" w:hAnsi="Arial" w:eastAsia="等线" w:cs="Arial"/>
          <w:sz w:val="22"/>
        </w:rPr>
        <w:t>(2) If any clause of this Agreement is deemed invalid or unenforceable, the remaining clauses shall remain in full force and effect;</w:t>
      </w:r>
    </w:p>
    <w:p w14:paraId="4EB90166">
      <w:pPr>
        <w:spacing w:before="120" w:after="120" w:line="288" w:lineRule="auto"/>
        <w:ind w:left="0"/>
        <w:jc w:val="left"/>
      </w:pPr>
      <w:r>
        <w:rPr>
          <w:rFonts w:ascii="Arial" w:hAnsi="Arial" w:eastAsia="等线" w:cs="Arial"/>
          <w:sz w:val="22"/>
        </w:rPr>
        <w:t>(3) This Agreement is made in duplicate, with one copy held by each party, and both copies shall have equal legal effect.</w:t>
      </w:r>
    </w:p>
    <w:p w14:paraId="49703B0A">
      <w:pPr>
        <w:spacing w:before="120" w:after="120" w:line="288" w:lineRule="auto"/>
        <w:ind w:left="0"/>
        <w:jc w:val="left"/>
      </w:pPr>
      <w:r>
        <w:rPr>
          <w:rFonts w:ascii="Arial" w:hAnsi="Arial" w:eastAsia="等线" w:cs="Arial"/>
          <w:b/>
          <w:sz w:val="22"/>
        </w:rPr>
        <w:t>(No further text below, signature page)</w:t>
      </w:r>
    </w:p>
    <w:p w14:paraId="4D683F0E">
      <w:pPr>
        <w:spacing w:before="120" w:after="120" w:line="288" w:lineRule="auto"/>
        <w:ind w:left="0"/>
        <w:jc w:val="left"/>
      </w:pPr>
      <w:r>
        <w:rPr>
          <w:rFonts w:ascii="Arial" w:hAnsi="Arial" w:eastAsia="等线" w:cs="Arial"/>
          <w:b/>
          <w:sz w:val="22"/>
        </w:rPr>
        <w:t>Disclosing Party (Party A):</w:t>
      </w:r>
      <w:r>
        <w:rPr>
          <w:rFonts w:ascii="Arial" w:hAnsi="Arial" w:eastAsia="等线" w:cs="Arial"/>
          <w:sz w:val="22"/>
        </w:rPr>
        <w:t xml:space="preserve"> _________________________</w:t>
      </w:r>
    </w:p>
    <w:p w14:paraId="737FA58A">
      <w:pPr>
        <w:spacing w:before="120" w:after="120" w:line="288" w:lineRule="auto"/>
        <w:ind w:left="0"/>
        <w:jc w:val="left"/>
      </w:pPr>
      <w:r>
        <w:rPr>
          <w:rFonts w:ascii="Arial" w:hAnsi="Arial" w:eastAsia="等线" w:cs="Arial"/>
          <w:sz w:val="22"/>
        </w:rPr>
        <w:t>Signature / Seal: _________________________</w:t>
      </w:r>
    </w:p>
    <w:p w14:paraId="294B796B">
      <w:pPr>
        <w:spacing w:before="120" w:after="120" w:line="288" w:lineRule="auto"/>
        <w:ind w:left="0"/>
        <w:jc w:val="left"/>
      </w:pPr>
      <w:r>
        <w:rPr>
          <w:rFonts w:ascii="Arial" w:hAnsi="Arial" w:eastAsia="等线" w:cs="Arial"/>
          <w:sz w:val="22"/>
        </w:rPr>
        <w:t>Date: _________________________</w:t>
      </w:r>
    </w:p>
    <w:p w14:paraId="3015D06E">
      <w:pPr>
        <w:spacing w:before="120" w:after="120" w:line="288" w:lineRule="auto"/>
        <w:ind w:left="0"/>
        <w:jc w:val="left"/>
      </w:pPr>
      <w:r>
        <w:rPr>
          <w:rFonts w:ascii="Arial" w:hAnsi="Arial" w:eastAsia="等线" w:cs="Arial"/>
          <w:b/>
          <w:sz w:val="22"/>
        </w:rPr>
        <w:t>Receiving Party (Party B):</w:t>
      </w:r>
      <w:r>
        <w:rPr>
          <w:rFonts w:ascii="Arial" w:hAnsi="Arial" w:eastAsia="等线" w:cs="Arial"/>
          <w:sz w:val="22"/>
        </w:rPr>
        <w:t xml:space="preserve"> _________________________</w:t>
      </w:r>
    </w:p>
    <w:p w14:paraId="5BA62085">
      <w:pPr>
        <w:spacing w:before="120" w:after="120" w:line="288" w:lineRule="auto"/>
        <w:ind w:left="0"/>
        <w:jc w:val="left"/>
      </w:pPr>
      <w:r>
        <w:rPr>
          <w:rFonts w:ascii="Arial" w:hAnsi="Arial" w:eastAsia="等线" w:cs="Arial"/>
          <w:sz w:val="22"/>
        </w:rPr>
        <w:t>Signature / Seal: _________________________</w:t>
      </w:r>
    </w:p>
    <w:p w14:paraId="4FF15159">
      <w:pPr>
        <w:spacing w:before="120" w:after="120" w:line="288" w:lineRule="auto"/>
        <w:ind w:left="0"/>
        <w:jc w:val="left"/>
      </w:pPr>
      <w:r>
        <w:rPr>
          <w:rFonts w:ascii="Arial" w:hAnsi="Arial" w:eastAsia="等线" w:cs="Arial"/>
          <w:sz w:val="22"/>
        </w:rPr>
        <w:t>Date: _________________________</w:t>
      </w:r>
    </w:p>
    <w:p w14:paraId="13709FB7">
      <w:pPr>
        <w:spacing w:before="120" w:after="120" w:line="288" w:lineRule="auto"/>
        <w:ind w:left="0"/>
        <w:jc w:val="left"/>
      </w:pP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BC1A22"/>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87864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54D4780"/>
    <w:rsid w:val="7FC93B8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1010</Words>
  <Characters>6620</Characters>
  <TotalTime>1</TotalTime>
  <ScaleCrop>false</ScaleCrop>
  <LinksUpToDate>false</LinksUpToDate>
  <CharactersWithSpaces>7573</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2026-06-09T03:50:00Z</dcterms:created>
  <dc:creator>Apache POI</dc:creator>
  <cp:lastModifiedBy>A大肥花</cp:lastModifiedBy>
  <dcterms:modified xsi:type="dcterms:W3CDTF">2026-07-23T03:59:29Z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{"Label":"1","ContentProducer":"001191110102MACQD9K64010000","ProduceID":"7649238210732215266","ReservedCode1":"","ContentPropagator":"","PropagateID":"","ReservedCode2":""}</vt:lpwstr>
  </property>
  <property fmtid="{D5CDD505-2E9C-101B-9397-08002B2CF9AE}" pid="3" name="KSOTemplateDocerSaveRecord">
    <vt:lpwstr>eyJoZGlkIjoiN2ZiMjk4ZjU5MDhjYjYxNzg4ZTFjOTU4YjVkYzY5NTMiLCJ1c2VySWQiOiIzNTk1NDcyOTAifQ==</vt:lpwstr>
  </property>
  <property fmtid="{D5CDD505-2E9C-101B-9397-08002B2CF9AE}" pid="4" name="KSOProductBuildVer">
    <vt:lpwstr>2052-12.1.0.26895</vt:lpwstr>
  </property>
  <property fmtid="{D5CDD505-2E9C-101B-9397-08002B2CF9AE}" pid="5" name="ICV">
    <vt:lpwstr>11134C2A12F84850A34452A814E41E67_13</vt:lpwstr>
  </property>
</Properties>
</file>